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E083" w14:textId="77777777" w:rsidR="00E318E9" w:rsidRPr="009649DB" w:rsidRDefault="00E318E9" w:rsidP="00E318E9">
      <w:pPr>
        <w:pStyle w:val="Default"/>
        <w:jc w:val="center"/>
        <w:rPr>
          <w:rFonts w:ascii="Times New Roman" w:hAnsi="Times New Roman" w:cs="Times New Roman"/>
          <w:b/>
          <w:bCs/>
          <w:lang w:val="en-US"/>
        </w:rPr>
      </w:pPr>
      <w:bookmarkStart w:id="0" w:name="_GoBack"/>
      <w:bookmarkEnd w:id="0"/>
      <w:r w:rsidRPr="009649DB">
        <w:rPr>
          <w:rFonts w:ascii="Times New Roman" w:hAnsi="Times New Roman" w:cs="Times New Roman"/>
          <w:b/>
          <w:bCs/>
          <w:lang w:val="en-US"/>
        </w:rPr>
        <w:t>TERMS OF REFERENCE (</w:t>
      </w:r>
      <w:proofErr w:type="spellStart"/>
      <w:r w:rsidRPr="009649DB">
        <w:rPr>
          <w:rFonts w:ascii="Times New Roman" w:hAnsi="Times New Roman" w:cs="Times New Roman"/>
          <w:b/>
          <w:bCs/>
          <w:lang w:val="en-US"/>
        </w:rPr>
        <w:t>ToR</w:t>
      </w:r>
      <w:proofErr w:type="spellEnd"/>
      <w:r w:rsidRPr="009649DB">
        <w:rPr>
          <w:rFonts w:ascii="Times New Roman" w:hAnsi="Times New Roman" w:cs="Times New Roman"/>
          <w:b/>
          <w:bCs/>
          <w:lang w:val="en-US"/>
        </w:rPr>
        <w:t>)</w:t>
      </w:r>
    </w:p>
    <w:p w14:paraId="7967CB9E" w14:textId="77777777" w:rsidR="00E318E9" w:rsidRPr="009649DB" w:rsidRDefault="00E318E9" w:rsidP="00E318E9">
      <w:pPr>
        <w:pStyle w:val="Default"/>
        <w:jc w:val="center"/>
        <w:rPr>
          <w:rFonts w:ascii="Times New Roman" w:hAnsi="Times New Roman" w:cs="Times New Roman"/>
          <w:b/>
          <w:bCs/>
          <w:lang w:val="en-US"/>
        </w:rPr>
      </w:pPr>
      <w:r w:rsidRPr="009649DB">
        <w:rPr>
          <w:rFonts w:ascii="Times New Roman" w:hAnsi="Times New Roman" w:cs="Times New Roman"/>
          <w:b/>
          <w:bCs/>
          <w:lang w:val="en-US"/>
        </w:rPr>
        <w:t>Certificate on the Financial Statements (CFS)</w:t>
      </w:r>
    </w:p>
    <w:p w14:paraId="1DFB57EC" w14:textId="77777777" w:rsidR="00E318E9" w:rsidRPr="00DE0748" w:rsidRDefault="00E318E9" w:rsidP="00E318E9">
      <w:pPr>
        <w:pStyle w:val="Default"/>
        <w:jc w:val="both"/>
        <w:rPr>
          <w:rFonts w:ascii="Times New Roman" w:hAnsi="Times New Roman" w:cs="Times New Roman"/>
          <w:lang w:val="en-US"/>
        </w:rPr>
      </w:pPr>
    </w:p>
    <w:p w14:paraId="4E68C563" w14:textId="77777777" w:rsidR="00E318E9" w:rsidRPr="009649DB" w:rsidRDefault="00E318E9" w:rsidP="00E318E9">
      <w:pPr>
        <w:pStyle w:val="Default"/>
        <w:numPr>
          <w:ilvl w:val="0"/>
          <w:numId w:val="1"/>
        </w:numPr>
        <w:jc w:val="both"/>
        <w:rPr>
          <w:rFonts w:ascii="Times New Roman" w:hAnsi="Times New Roman" w:cs="Times New Roman"/>
          <w:b/>
          <w:lang w:val="en-GB"/>
        </w:rPr>
      </w:pPr>
      <w:r>
        <w:rPr>
          <w:rFonts w:ascii="Times New Roman" w:hAnsi="Times New Roman" w:cs="Times New Roman"/>
          <w:b/>
          <w:lang w:val="en-GB"/>
        </w:rPr>
        <w:t xml:space="preserve">Background </w:t>
      </w:r>
    </w:p>
    <w:p w14:paraId="246939D6" w14:textId="77777777" w:rsidR="00E318E9" w:rsidRPr="009649DB" w:rsidRDefault="00E318E9" w:rsidP="00E318E9">
      <w:pPr>
        <w:pStyle w:val="Default"/>
        <w:ind w:firstLine="426"/>
        <w:jc w:val="both"/>
        <w:rPr>
          <w:rFonts w:ascii="Times New Roman" w:hAnsi="Times New Roman" w:cs="Times New Roman"/>
          <w:b/>
          <w:bCs/>
          <w:lang w:val="ru-RU" w:eastAsia="uk-UA"/>
        </w:rPr>
      </w:pPr>
    </w:p>
    <w:p w14:paraId="73DC9C88" w14:textId="77777777" w:rsidR="00E318E9" w:rsidRPr="009649DB" w:rsidRDefault="00E318E9" w:rsidP="00E318E9">
      <w:pPr>
        <w:pStyle w:val="Default"/>
        <w:ind w:firstLine="426"/>
        <w:jc w:val="both"/>
        <w:rPr>
          <w:rFonts w:ascii="Times New Roman" w:hAnsi="Times New Roman" w:cs="Times New Roman"/>
          <w:lang w:val="en-US" w:eastAsia="uk-UA"/>
        </w:rPr>
      </w:pPr>
      <w:r w:rsidRPr="009649DB">
        <w:rPr>
          <w:rFonts w:ascii="Times New Roman" w:hAnsi="Times New Roman" w:cs="Times New Roman"/>
          <w:lang w:val="en-US" w:eastAsia="uk-UA"/>
        </w:rPr>
        <w:t>A Certificate on the Financial Statements (CFS) must be provided for entities that participate as beneficiaries or affiliated entities (“participants”) in EU grants — provided that it is required under the EU Grant Agreement and that certain thresholds are met (see GA Data Sheet and Article 24.2 and AGA — Annotated Grant Agreement, art. 24.2).</w:t>
      </w:r>
    </w:p>
    <w:p w14:paraId="716E0CC8" w14:textId="77777777" w:rsidR="00E318E9" w:rsidRPr="009649DB" w:rsidRDefault="00E318E9" w:rsidP="00E318E9">
      <w:pPr>
        <w:pStyle w:val="Default"/>
        <w:ind w:firstLine="426"/>
        <w:jc w:val="both"/>
        <w:rPr>
          <w:rFonts w:ascii="Times New Roman" w:hAnsi="Times New Roman" w:cs="Times New Roman"/>
          <w:lang w:val="en-US" w:eastAsia="uk-UA"/>
        </w:rPr>
      </w:pPr>
      <w:r w:rsidRPr="009649DB">
        <w:rPr>
          <w:rFonts w:ascii="Times New Roman" w:hAnsi="Times New Roman" w:cs="Times New Roman"/>
          <w:lang w:val="en-US" w:eastAsia="uk-UA"/>
        </w:rPr>
        <w:t>The purpose of the CFS is to provide the EU granting authority with factual findings to assess whether the costs declared on the basis of actual costs or costs according to usual cost accounting practices (if any), and, if relevant, also revenues, comply with the conditions set out in the EU Grant Agreement.</w:t>
      </w:r>
    </w:p>
    <w:p w14:paraId="25ED4CC5" w14:textId="77777777" w:rsidR="00E318E9" w:rsidRPr="009649DB" w:rsidRDefault="00E318E9" w:rsidP="00E318E9">
      <w:pPr>
        <w:pStyle w:val="Default"/>
        <w:ind w:firstLine="426"/>
        <w:jc w:val="both"/>
        <w:rPr>
          <w:rFonts w:ascii="Times New Roman" w:hAnsi="Times New Roman" w:cs="Times New Roman"/>
          <w:lang w:val="en-US" w:eastAsia="uk-UA"/>
        </w:rPr>
      </w:pPr>
      <w:r w:rsidRPr="009649DB">
        <w:rPr>
          <w:rFonts w:ascii="Times New Roman" w:hAnsi="Times New Roman" w:cs="Times New Roman"/>
          <w:lang w:val="en-US" w:eastAsia="uk-UA"/>
        </w:rPr>
        <w:t>The present Terms of Reference set out the procedures to be performed, define the scope and applicable standards of the CFS, and determine who may deliver it.</w:t>
      </w:r>
    </w:p>
    <w:p w14:paraId="1BA6DBA3" w14:textId="77777777" w:rsidR="00E318E9" w:rsidRPr="009649DB" w:rsidRDefault="00E318E9" w:rsidP="00E318E9">
      <w:pPr>
        <w:pStyle w:val="Default"/>
        <w:jc w:val="both"/>
        <w:rPr>
          <w:rFonts w:ascii="Times New Roman" w:hAnsi="Times New Roman" w:cs="Times New Roman"/>
          <w:lang w:val="en-GB"/>
        </w:rPr>
      </w:pPr>
    </w:p>
    <w:p w14:paraId="6B44CD49" w14:textId="77777777" w:rsidR="00E318E9" w:rsidRPr="009649DB" w:rsidRDefault="00E318E9" w:rsidP="00E318E9">
      <w:pPr>
        <w:pStyle w:val="Default"/>
        <w:numPr>
          <w:ilvl w:val="0"/>
          <w:numId w:val="1"/>
        </w:numPr>
        <w:ind w:left="0" w:firstLine="0"/>
        <w:jc w:val="both"/>
        <w:rPr>
          <w:rFonts w:ascii="Times New Roman" w:hAnsi="Times New Roman" w:cs="Times New Roman"/>
          <w:b/>
          <w:lang w:val="en-GB"/>
        </w:rPr>
      </w:pPr>
      <w:r w:rsidRPr="009649DB">
        <w:rPr>
          <w:rFonts w:ascii="Times New Roman" w:hAnsi="Times New Roman" w:cs="Times New Roman"/>
          <w:b/>
          <w:lang w:val="en-GB"/>
        </w:rPr>
        <w:t>Scope and Applicable Standards</w:t>
      </w:r>
    </w:p>
    <w:p w14:paraId="498457E3" w14:textId="77777777" w:rsidR="00E318E9" w:rsidRPr="009649DB" w:rsidRDefault="00E318E9" w:rsidP="00E318E9">
      <w:pPr>
        <w:pStyle w:val="Default"/>
        <w:ind w:left="1068"/>
        <w:jc w:val="both"/>
        <w:rPr>
          <w:rFonts w:ascii="Times New Roman" w:hAnsi="Times New Roman" w:cs="Times New Roman"/>
          <w:b/>
          <w:lang w:val="en-GB"/>
        </w:rPr>
      </w:pPr>
    </w:p>
    <w:p w14:paraId="752C8EBB" w14:textId="77777777" w:rsidR="00E318E9" w:rsidRPr="009649DB" w:rsidRDefault="00E318E9" w:rsidP="00E318E9">
      <w:pPr>
        <w:pStyle w:val="Default"/>
        <w:jc w:val="both"/>
        <w:rPr>
          <w:rFonts w:ascii="Times New Roman" w:hAnsi="Times New Roman" w:cs="Times New Roman"/>
          <w:lang w:val="en-GB"/>
        </w:rPr>
      </w:pPr>
      <w:r w:rsidRPr="009649DB">
        <w:rPr>
          <w:rFonts w:ascii="Times New Roman" w:hAnsi="Times New Roman" w:cs="Times New Roman"/>
          <w:lang w:val="en-GB"/>
        </w:rPr>
        <w:t>The CFS is a report on factual findings based on Agreed-Upon Procedures (AUP).</w:t>
      </w:r>
    </w:p>
    <w:p w14:paraId="496C9205" w14:textId="77777777" w:rsidR="00E318E9" w:rsidRPr="009649DB" w:rsidRDefault="00E318E9" w:rsidP="00E318E9">
      <w:pPr>
        <w:pStyle w:val="Default"/>
        <w:jc w:val="both"/>
        <w:rPr>
          <w:rFonts w:ascii="Times New Roman" w:hAnsi="Times New Roman" w:cs="Times New Roman"/>
          <w:lang w:val="en-GB"/>
        </w:rPr>
      </w:pPr>
      <w:r w:rsidRPr="009649DB">
        <w:rPr>
          <w:rFonts w:ascii="Times New Roman" w:hAnsi="Times New Roman" w:cs="Times New Roman"/>
          <w:lang w:val="en-GB"/>
        </w:rPr>
        <w:t>The engagement consists of performing agreed-upon procedures regarding the eligibility of the costs (and, if relevant, also revenues) declared under grant agreement</w:t>
      </w:r>
    </w:p>
    <w:p w14:paraId="652AADD8" w14:textId="77777777" w:rsidR="00E318E9" w:rsidRPr="009649DB" w:rsidRDefault="00E318E9" w:rsidP="00E318E9">
      <w:pPr>
        <w:pStyle w:val="Default"/>
        <w:jc w:val="both"/>
        <w:rPr>
          <w:rFonts w:ascii="Times New Roman" w:hAnsi="Times New Roman" w:cs="Times New Roman"/>
          <w:lang w:val="en-GB"/>
        </w:rPr>
      </w:pPr>
      <w:r w:rsidRPr="009649DB">
        <w:rPr>
          <w:rFonts w:ascii="Times New Roman" w:hAnsi="Times New Roman" w:cs="Times New Roman"/>
          <w:lang w:val="en-GB"/>
        </w:rPr>
        <w:t>[insert project number] — [insert acronym] (“the Grant Agreement”).</w:t>
      </w:r>
    </w:p>
    <w:p w14:paraId="315C241E" w14:textId="77777777" w:rsidR="00E318E9" w:rsidRPr="009649DB" w:rsidRDefault="00E318E9" w:rsidP="00E318E9">
      <w:pPr>
        <w:pStyle w:val="Default"/>
        <w:jc w:val="both"/>
        <w:rPr>
          <w:rFonts w:ascii="Times New Roman" w:hAnsi="Times New Roman" w:cs="Times New Roman"/>
          <w:lang w:val="en-GB"/>
        </w:rPr>
      </w:pPr>
      <w:r w:rsidRPr="009649DB">
        <w:rPr>
          <w:rFonts w:ascii="Times New Roman" w:hAnsi="Times New Roman" w:cs="Times New Roman"/>
          <w:lang w:val="en-GB"/>
        </w:rPr>
        <w:t>It is not an assurance engagement; the CFS practitioner does not provide an audit opinion nor express any assurance.</w:t>
      </w:r>
    </w:p>
    <w:p w14:paraId="36E254E9" w14:textId="77777777" w:rsidR="00E318E9" w:rsidRDefault="00E318E9" w:rsidP="00E318E9">
      <w:pPr>
        <w:pStyle w:val="Default"/>
        <w:jc w:val="both"/>
        <w:rPr>
          <w:rFonts w:ascii="Times New Roman" w:hAnsi="Times New Roman" w:cs="Times New Roman"/>
          <w:b/>
          <w:lang w:val="en-GB"/>
        </w:rPr>
      </w:pPr>
    </w:p>
    <w:p w14:paraId="23E04976" w14:textId="77777777" w:rsidR="00E318E9" w:rsidRDefault="00E318E9" w:rsidP="00E318E9">
      <w:pPr>
        <w:pStyle w:val="Default"/>
        <w:jc w:val="both"/>
        <w:rPr>
          <w:rFonts w:ascii="Times New Roman" w:hAnsi="Times New Roman" w:cs="Times New Roman"/>
          <w:b/>
          <w:lang w:val="en-GB"/>
        </w:rPr>
      </w:pPr>
      <w:r w:rsidRPr="009649DB">
        <w:rPr>
          <w:rFonts w:ascii="Times New Roman" w:hAnsi="Times New Roman" w:cs="Times New Roman"/>
          <w:b/>
          <w:lang w:val="en-GB"/>
        </w:rPr>
        <w:t>The following standards apply:</w:t>
      </w:r>
    </w:p>
    <w:p w14:paraId="6E6EED09" w14:textId="77777777" w:rsidR="00E318E9" w:rsidRPr="009649DB" w:rsidRDefault="00E318E9" w:rsidP="00E318E9">
      <w:pPr>
        <w:pStyle w:val="Default"/>
        <w:jc w:val="both"/>
        <w:rPr>
          <w:rFonts w:ascii="Times New Roman" w:hAnsi="Times New Roman" w:cs="Times New Roman"/>
          <w:b/>
          <w:lang w:val="en-GB"/>
        </w:rPr>
      </w:pPr>
    </w:p>
    <w:p w14:paraId="308862D0" w14:textId="77777777" w:rsidR="00E318E9" w:rsidRPr="009649DB" w:rsidRDefault="00E318E9" w:rsidP="00E318E9">
      <w:pPr>
        <w:pStyle w:val="Default"/>
        <w:numPr>
          <w:ilvl w:val="0"/>
          <w:numId w:val="7"/>
        </w:numPr>
        <w:ind w:hanging="785"/>
        <w:jc w:val="both"/>
        <w:rPr>
          <w:rFonts w:ascii="Times New Roman" w:hAnsi="Times New Roman" w:cs="Times New Roman"/>
          <w:lang w:val="en-GB"/>
        </w:rPr>
      </w:pPr>
      <w:r w:rsidRPr="009649DB">
        <w:rPr>
          <w:rFonts w:ascii="Times New Roman" w:hAnsi="Times New Roman" w:cs="Times New Roman"/>
          <w:lang w:val="en-GB"/>
        </w:rPr>
        <w:t>International standard on related services (ISRS) 4400 (revised) — Agreed-Upon Procedures Engagements, as issued by the International Auditing and Assurance Standards Board (IAASB);</w:t>
      </w:r>
    </w:p>
    <w:p w14:paraId="7B4398CE" w14:textId="77777777" w:rsidR="00E318E9" w:rsidRPr="009649DB" w:rsidRDefault="00E318E9" w:rsidP="00E318E9">
      <w:pPr>
        <w:pStyle w:val="Default"/>
        <w:numPr>
          <w:ilvl w:val="0"/>
          <w:numId w:val="7"/>
        </w:numPr>
        <w:ind w:hanging="785"/>
        <w:jc w:val="both"/>
        <w:rPr>
          <w:rFonts w:ascii="Times New Roman" w:hAnsi="Times New Roman" w:cs="Times New Roman"/>
          <w:lang w:val="en-GB"/>
        </w:rPr>
      </w:pPr>
      <w:r w:rsidRPr="009649DB">
        <w:rPr>
          <w:rFonts w:ascii="Times New Roman" w:hAnsi="Times New Roman" w:cs="Times New Roman"/>
          <w:lang w:val="en-GB"/>
        </w:rPr>
        <w:t>International code of ethics for professional accountants (including International Independence Standards), issued by the International Ethics Standards Board for Accountants (IESBA), including independence requirements;</w:t>
      </w:r>
    </w:p>
    <w:p w14:paraId="6B4A0F78" w14:textId="77777777" w:rsidR="00E318E9" w:rsidRPr="009649DB" w:rsidRDefault="00E318E9" w:rsidP="00E318E9">
      <w:pPr>
        <w:pStyle w:val="Default"/>
        <w:numPr>
          <w:ilvl w:val="0"/>
          <w:numId w:val="7"/>
        </w:numPr>
        <w:ind w:hanging="785"/>
        <w:jc w:val="both"/>
        <w:rPr>
          <w:rFonts w:ascii="Times New Roman" w:hAnsi="Times New Roman" w:cs="Times New Roman"/>
          <w:lang w:val="en-GB"/>
        </w:rPr>
      </w:pPr>
      <w:r w:rsidRPr="009649DB">
        <w:rPr>
          <w:rFonts w:ascii="Times New Roman" w:hAnsi="Times New Roman" w:cs="Times New Roman"/>
          <w:lang w:val="en-GB"/>
        </w:rPr>
        <w:t>International standard on quality control 1 (ISQC 1) — Quality Control for Firms that Perform Audits and Reviews of Financial Statements, and Other Assurance and Related Services Engagements (or equivalent).</w:t>
      </w:r>
    </w:p>
    <w:p w14:paraId="13405985" w14:textId="77777777" w:rsidR="00E318E9" w:rsidRPr="009649DB" w:rsidRDefault="00E318E9" w:rsidP="00E318E9">
      <w:pPr>
        <w:pStyle w:val="Default"/>
        <w:jc w:val="both"/>
        <w:rPr>
          <w:rFonts w:ascii="Times New Roman" w:hAnsi="Times New Roman" w:cs="Times New Roman"/>
          <w:lang w:val="en-GB"/>
        </w:rPr>
      </w:pPr>
    </w:p>
    <w:p w14:paraId="26B6FE96" w14:textId="77777777" w:rsidR="00E318E9" w:rsidRPr="009649DB" w:rsidRDefault="00E318E9" w:rsidP="00E318E9">
      <w:pPr>
        <w:pStyle w:val="Default"/>
        <w:ind w:firstLine="426"/>
        <w:jc w:val="both"/>
        <w:rPr>
          <w:rFonts w:ascii="Times New Roman" w:hAnsi="Times New Roman" w:cs="Times New Roman"/>
          <w:lang w:val="en-GB"/>
        </w:rPr>
      </w:pPr>
      <w:r w:rsidRPr="009649DB">
        <w:rPr>
          <w:rFonts w:ascii="Times New Roman" w:hAnsi="Times New Roman" w:cs="Times New Roman"/>
          <w:lang w:val="en-GB"/>
        </w:rPr>
        <w:t>Supreme Audit Institutions applying INTOSAI standards may carry out the procedures according to the corresponding International Standards of Supreme Audit Institutions (ISSAIs) and Code of Ethics issued by INTOSAI, instead of the ISRS 4400 (revised) and IESBA standards.</w:t>
      </w:r>
    </w:p>
    <w:p w14:paraId="55518DF8" w14:textId="77777777" w:rsidR="00E318E9" w:rsidRPr="009649DB" w:rsidRDefault="00E318E9" w:rsidP="00E318E9">
      <w:pPr>
        <w:pStyle w:val="Default"/>
        <w:ind w:firstLine="426"/>
        <w:jc w:val="both"/>
        <w:rPr>
          <w:rFonts w:ascii="Times New Roman" w:hAnsi="Times New Roman" w:cs="Times New Roman"/>
          <w:lang w:val="en-GB"/>
        </w:rPr>
      </w:pPr>
      <w:r w:rsidRPr="009649DB">
        <w:rPr>
          <w:rFonts w:ascii="Times New Roman" w:hAnsi="Times New Roman" w:cs="Times New Roman"/>
          <w:lang w:val="en-GB"/>
        </w:rPr>
        <w:t>The CFS must be issued according to the highest professional standards. The practitioner must comply with these Terms of Reference, including the Agreed-Upon Procedures checklist and report template — without modifying them.</w:t>
      </w:r>
    </w:p>
    <w:p w14:paraId="34C035E4" w14:textId="77777777" w:rsidR="00E318E9" w:rsidRDefault="00E318E9" w:rsidP="00E318E9">
      <w:pPr>
        <w:pStyle w:val="Default"/>
        <w:ind w:firstLine="426"/>
        <w:jc w:val="both"/>
        <w:rPr>
          <w:rFonts w:ascii="Times New Roman" w:hAnsi="Times New Roman" w:cs="Times New Roman"/>
          <w:lang w:val="en-GB"/>
        </w:rPr>
      </w:pPr>
      <w:r w:rsidRPr="009649DB">
        <w:rPr>
          <w:rFonts w:ascii="Times New Roman" w:hAnsi="Times New Roman" w:cs="Times New Roman"/>
          <w:lang w:val="en-GB"/>
        </w:rPr>
        <w:t>The work must be planned and performed effectively. The practitioner must document all relevant evidence supporting the findings and ensure that all significant matters are clearly described, including affected amounts, to allow the participant and the granting authority to ensure appropriate follow-up.</w:t>
      </w:r>
    </w:p>
    <w:p w14:paraId="4CE03AA7" w14:textId="77777777" w:rsidR="00E318E9" w:rsidRDefault="00E318E9" w:rsidP="00E318E9">
      <w:pPr>
        <w:pStyle w:val="Default"/>
        <w:ind w:firstLine="426"/>
        <w:jc w:val="both"/>
        <w:rPr>
          <w:rFonts w:ascii="Times New Roman" w:hAnsi="Times New Roman" w:cs="Times New Roman"/>
          <w:lang w:val="en-GB"/>
        </w:rPr>
      </w:pPr>
    </w:p>
    <w:p w14:paraId="5136F5CE" w14:textId="77777777" w:rsidR="00E318E9" w:rsidRDefault="00E318E9" w:rsidP="00E318E9">
      <w:pPr>
        <w:pStyle w:val="Default"/>
        <w:ind w:firstLine="426"/>
        <w:jc w:val="both"/>
        <w:rPr>
          <w:rFonts w:ascii="Times New Roman" w:hAnsi="Times New Roman" w:cs="Times New Roman"/>
          <w:lang w:val="en-GB"/>
        </w:rPr>
      </w:pPr>
    </w:p>
    <w:p w14:paraId="4480B135" w14:textId="77777777" w:rsidR="00E318E9" w:rsidRPr="009649DB" w:rsidRDefault="00E318E9" w:rsidP="00E318E9">
      <w:pPr>
        <w:pStyle w:val="Default"/>
        <w:ind w:firstLine="426"/>
        <w:jc w:val="both"/>
        <w:rPr>
          <w:rFonts w:ascii="Times New Roman" w:hAnsi="Times New Roman" w:cs="Times New Roman"/>
          <w:lang w:val="en-GB"/>
        </w:rPr>
      </w:pPr>
    </w:p>
    <w:p w14:paraId="181B2223" w14:textId="77777777" w:rsidR="00E318E9" w:rsidRPr="009649DB" w:rsidRDefault="00E318E9" w:rsidP="00E318E9">
      <w:pPr>
        <w:pStyle w:val="3"/>
        <w:rPr>
          <w:sz w:val="24"/>
          <w:szCs w:val="24"/>
          <w:lang w:val="en-US"/>
        </w:rPr>
      </w:pPr>
      <w:r>
        <w:rPr>
          <w:rStyle w:val="a4"/>
          <w:sz w:val="24"/>
          <w:szCs w:val="24"/>
          <w:lang w:val="en-US"/>
        </w:rPr>
        <w:t>3. Practitioners who may deliver a c</w:t>
      </w:r>
      <w:r w:rsidRPr="009649DB">
        <w:rPr>
          <w:rStyle w:val="a4"/>
          <w:sz w:val="24"/>
          <w:szCs w:val="24"/>
          <w:lang w:val="en-US"/>
        </w:rPr>
        <w:t>ertificate</w:t>
      </w:r>
    </w:p>
    <w:p w14:paraId="63F9510F" w14:textId="77777777" w:rsidR="00E318E9" w:rsidRPr="009649DB" w:rsidRDefault="00E318E9" w:rsidP="00E318E9">
      <w:pPr>
        <w:pStyle w:val="a3"/>
        <w:jc w:val="both"/>
        <w:rPr>
          <w:lang w:val="en-US"/>
        </w:rPr>
      </w:pPr>
      <w:r w:rsidRPr="009649DB">
        <w:rPr>
          <w:lang w:val="en-US"/>
        </w:rPr>
        <w:lastRenderedPageBreak/>
        <w:t xml:space="preserve">The participant is free to choose a </w:t>
      </w:r>
      <w:r w:rsidRPr="009649DB">
        <w:rPr>
          <w:rStyle w:val="a4"/>
          <w:lang w:val="en-US"/>
        </w:rPr>
        <w:t>qualified external auditor</w:t>
      </w:r>
      <w:r w:rsidRPr="009649DB">
        <w:rPr>
          <w:lang w:val="en-US"/>
        </w:rPr>
        <w:t>, including its usual external auditor, provided that:</w:t>
      </w:r>
    </w:p>
    <w:p w14:paraId="6EA79D10" w14:textId="77777777" w:rsidR="00E318E9" w:rsidRPr="009649DB" w:rsidRDefault="00E318E9" w:rsidP="00E318E9">
      <w:pPr>
        <w:pStyle w:val="a3"/>
        <w:numPr>
          <w:ilvl w:val="0"/>
          <w:numId w:val="2"/>
        </w:numPr>
        <w:jc w:val="both"/>
        <w:rPr>
          <w:lang w:val="en-US"/>
        </w:rPr>
      </w:pPr>
      <w:r w:rsidRPr="009649DB">
        <w:rPr>
          <w:lang w:val="en-US"/>
        </w:rPr>
        <w:t xml:space="preserve">The auditor is </w:t>
      </w:r>
      <w:r w:rsidRPr="009649DB">
        <w:rPr>
          <w:rStyle w:val="a4"/>
          <w:lang w:val="en-US"/>
        </w:rPr>
        <w:t>independent</w:t>
      </w:r>
      <w:r w:rsidRPr="009649DB">
        <w:rPr>
          <w:lang w:val="en-US"/>
        </w:rPr>
        <w:t xml:space="preserve"> from the participant; and</w:t>
      </w:r>
    </w:p>
    <w:p w14:paraId="2F416F3E" w14:textId="77777777" w:rsidR="00E318E9" w:rsidRPr="009649DB" w:rsidRDefault="00E318E9" w:rsidP="00E318E9">
      <w:pPr>
        <w:pStyle w:val="a3"/>
        <w:numPr>
          <w:ilvl w:val="0"/>
          <w:numId w:val="2"/>
        </w:numPr>
        <w:jc w:val="both"/>
        <w:rPr>
          <w:lang w:val="en-US"/>
        </w:rPr>
      </w:pPr>
      <w:r w:rsidRPr="009649DB">
        <w:rPr>
          <w:lang w:val="en-US"/>
        </w:rPr>
        <w:t xml:space="preserve">The provisions of </w:t>
      </w:r>
      <w:r w:rsidRPr="009649DB">
        <w:rPr>
          <w:rStyle w:val="a4"/>
          <w:lang w:val="en-US"/>
        </w:rPr>
        <w:t>Directive 2006/43/EC</w:t>
      </w:r>
      <w:r w:rsidRPr="009649DB">
        <w:rPr>
          <w:lang w:val="en-US"/>
        </w:rPr>
        <w:t xml:space="preserve"> (or similar standards) are complied with.</w:t>
      </w:r>
    </w:p>
    <w:p w14:paraId="7C555DE2" w14:textId="77777777" w:rsidR="00E318E9" w:rsidRPr="009649DB" w:rsidRDefault="00E318E9" w:rsidP="00E318E9">
      <w:pPr>
        <w:pStyle w:val="a3"/>
        <w:jc w:val="both"/>
        <w:rPr>
          <w:lang w:val="en-US"/>
        </w:rPr>
      </w:pPr>
      <w:r w:rsidRPr="009649DB">
        <w:rPr>
          <w:lang w:val="en-US"/>
        </w:rPr>
        <w:t>Although ISRS 4400 (revised) does not require independence for agreed-upon procedure engagements, independence is mandatory for CFS practitioners to ensure an unbiased approach. Compliance with the IESBA Code’s independence requirements is therefore compulsory.</w:t>
      </w:r>
    </w:p>
    <w:p w14:paraId="71FFA86D" w14:textId="77777777" w:rsidR="00E318E9" w:rsidRPr="009649DB" w:rsidRDefault="00E318E9" w:rsidP="00E318E9">
      <w:pPr>
        <w:pStyle w:val="a3"/>
        <w:jc w:val="both"/>
      </w:pPr>
      <w:r w:rsidRPr="009649DB">
        <w:rPr>
          <w:rStyle w:val="a4"/>
        </w:rPr>
        <w:t xml:space="preserve">Special </w:t>
      </w:r>
      <w:proofErr w:type="spellStart"/>
      <w:r w:rsidRPr="009649DB">
        <w:rPr>
          <w:rStyle w:val="a4"/>
        </w:rPr>
        <w:t>cases</w:t>
      </w:r>
      <w:proofErr w:type="spellEnd"/>
      <w:r w:rsidRPr="009649DB">
        <w:rPr>
          <w:rStyle w:val="a4"/>
        </w:rPr>
        <w:t>:</w:t>
      </w:r>
    </w:p>
    <w:p w14:paraId="77ED4B37" w14:textId="77777777" w:rsidR="00E318E9" w:rsidRPr="009649DB" w:rsidRDefault="00E318E9" w:rsidP="00E318E9">
      <w:pPr>
        <w:pStyle w:val="a3"/>
        <w:numPr>
          <w:ilvl w:val="0"/>
          <w:numId w:val="3"/>
        </w:numPr>
        <w:jc w:val="both"/>
      </w:pPr>
      <w:r w:rsidRPr="009649DB">
        <w:rPr>
          <w:rStyle w:val="a4"/>
          <w:lang w:val="en-US"/>
        </w:rPr>
        <w:t>Public bodies</w:t>
      </w:r>
      <w:r w:rsidRPr="009649DB">
        <w:rPr>
          <w:lang w:val="en-US"/>
        </w:rPr>
        <w:t xml:space="preserve"> may choose an external auditor or a competent independent public officer. In the latter case, independence is defined as independence “in fact and in appearance” (e.g., the officer is not involved in preparing the financial statements). </w:t>
      </w:r>
      <w:r w:rsidRPr="009649DB">
        <w:t xml:space="preserve">The </w:t>
      </w:r>
      <w:proofErr w:type="spellStart"/>
      <w:r w:rsidRPr="009649DB">
        <w:t>certificate</w:t>
      </w:r>
      <w:proofErr w:type="spellEnd"/>
      <w:r w:rsidRPr="009649DB">
        <w:t xml:space="preserve"> </w:t>
      </w:r>
      <w:proofErr w:type="spellStart"/>
      <w:r w:rsidRPr="009649DB">
        <w:t>should</w:t>
      </w:r>
      <w:proofErr w:type="spellEnd"/>
      <w:r w:rsidRPr="009649DB">
        <w:t xml:space="preserve"> </w:t>
      </w:r>
      <w:proofErr w:type="spellStart"/>
      <w:r w:rsidRPr="009649DB">
        <w:t>refer</w:t>
      </w:r>
      <w:proofErr w:type="spellEnd"/>
      <w:r w:rsidRPr="009649DB">
        <w:t xml:space="preserve"> </w:t>
      </w:r>
      <w:proofErr w:type="spellStart"/>
      <w:r w:rsidRPr="009649DB">
        <w:t>to</w:t>
      </w:r>
      <w:proofErr w:type="spellEnd"/>
      <w:r w:rsidRPr="009649DB">
        <w:t xml:space="preserve"> </w:t>
      </w:r>
      <w:proofErr w:type="spellStart"/>
      <w:r w:rsidRPr="009649DB">
        <w:t>this</w:t>
      </w:r>
      <w:proofErr w:type="spellEnd"/>
      <w:r w:rsidRPr="009649DB">
        <w:t xml:space="preserve"> </w:t>
      </w:r>
      <w:proofErr w:type="spellStart"/>
      <w:r w:rsidRPr="009649DB">
        <w:t>appointment</w:t>
      </w:r>
      <w:proofErr w:type="spellEnd"/>
      <w:r w:rsidRPr="009649DB">
        <w:t>.</w:t>
      </w:r>
    </w:p>
    <w:p w14:paraId="656B734A" w14:textId="77777777" w:rsidR="00E318E9" w:rsidRPr="009649DB" w:rsidRDefault="00E318E9" w:rsidP="00E318E9">
      <w:pPr>
        <w:pStyle w:val="a3"/>
        <w:numPr>
          <w:ilvl w:val="0"/>
          <w:numId w:val="3"/>
        </w:numPr>
        <w:jc w:val="both"/>
        <w:rPr>
          <w:lang w:val="en-US"/>
        </w:rPr>
      </w:pPr>
      <w:r w:rsidRPr="009649DB">
        <w:rPr>
          <w:rStyle w:val="a4"/>
          <w:lang w:val="en-US"/>
        </w:rPr>
        <w:t>Pillar-assessed entities</w:t>
      </w:r>
      <w:r w:rsidRPr="009649DB">
        <w:rPr>
          <w:lang w:val="en-US"/>
        </w:rPr>
        <w:t xml:space="preserve"> may use their regular internal or external auditors, in accordance with their internal financial regulations and procedures as assessed by the European Commission (Article 154(3) of Regulation (EU, Euratom) 2018/1046).</w:t>
      </w:r>
    </w:p>
    <w:p w14:paraId="6632D6E4" w14:textId="77777777" w:rsidR="00E318E9" w:rsidRPr="009649DB" w:rsidRDefault="00E318E9" w:rsidP="00E318E9">
      <w:pPr>
        <w:pStyle w:val="a3"/>
        <w:jc w:val="both"/>
        <w:rPr>
          <w:lang w:val="en-US"/>
        </w:rPr>
      </w:pPr>
      <w:r w:rsidRPr="009649DB">
        <w:rPr>
          <w:lang w:val="en-US"/>
        </w:rPr>
        <w:t xml:space="preserve">The </w:t>
      </w:r>
      <w:r w:rsidRPr="009649DB">
        <w:rPr>
          <w:rStyle w:val="a4"/>
          <w:lang w:val="en-US"/>
        </w:rPr>
        <w:t>costs of the CFS</w:t>
      </w:r>
      <w:r w:rsidRPr="009649DB">
        <w:rPr>
          <w:lang w:val="en-US"/>
        </w:rPr>
        <w:t xml:space="preserve"> may be charged to the EU project, and the selection of the practitioner must comply with the cost eligibility criteria — in particular, the </w:t>
      </w:r>
      <w:r w:rsidRPr="009649DB">
        <w:rPr>
          <w:rStyle w:val="a4"/>
          <w:lang w:val="en-US"/>
        </w:rPr>
        <w:t>lowest price or best value for money</w:t>
      </w:r>
      <w:r w:rsidRPr="009649DB">
        <w:rPr>
          <w:lang w:val="en-US"/>
        </w:rPr>
        <w:t xml:space="preserve">, and </w:t>
      </w:r>
      <w:r w:rsidRPr="009649DB">
        <w:rPr>
          <w:rStyle w:val="a4"/>
          <w:lang w:val="en-US"/>
        </w:rPr>
        <w:t>no conflict of interest</w:t>
      </w:r>
      <w:r w:rsidRPr="009649DB">
        <w:rPr>
          <w:lang w:val="en-US"/>
        </w:rPr>
        <w:t>, as outlined in the Grant Agreement (see AGA — Annotated Grant Agreement, art. 6.2.C*).</w:t>
      </w:r>
    </w:p>
    <w:p w14:paraId="476AD014" w14:textId="77777777" w:rsidR="00E318E9" w:rsidRPr="009649DB" w:rsidRDefault="00E318E9" w:rsidP="00E318E9">
      <w:pPr>
        <w:pStyle w:val="a3"/>
        <w:jc w:val="both"/>
        <w:rPr>
          <w:lang w:val="en-US"/>
        </w:rPr>
      </w:pPr>
      <w:r w:rsidRPr="009649DB">
        <w:rPr>
          <w:lang w:val="en-US"/>
        </w:rPr>
        <w:t xml:space="preserve">The CFS does not limit or affect the granting authority’s right to perform its own assessment or audit. It also does not preclude other bodies (Article 25 of the Grant Agreement), such as </w:t>
      </w:r>
      <w:r w:rsidRPr="009649DB">
        <w:rPr>
          <w:rStyle w:val="a4"/>
          <w:lang w:val="en-US"/>
        </w:rPr>
        <w:t>OLAF</w:t>
      </w:r>
      <w:r w:rsidRPr="009649DB">
        <w:rPr>
          <w:lang w:val="en-US"/>
        </w:rPr>
        <w:t xml:space="preserve">, </w:t>
      </w:r>
      <w:r w:rsidRPr="009649DB">
        <w:rPr>
          <w:rStyle w:val="a4"/>
          <w:lang w:val="en-US"/>
        </w:rPr>
        <w:t>EPPO</w:t>
      </w:r>
      <w:r w:rsidRPr="009649DB">
        <w:rPr>
          <w:lang w:val="en-US"/>
        </w:rPr>
        <w:t xml:space="preserve">, or the </w:t>
      </w:r>
      <w:r w:rsidRPr="009649DB">
        <w:rPr>
          <w:rStyle w:val="a4"/>
          <w:lang w:val="en-US"/>
        </w:rPr>
        <w:t>European Court of Auditors (ECA)</w:t>
      </w:r>
      <w:r w:rsidRPr="009649DB">
        <w:rPr>
          <w:lang w:val="en-US"/>
        </w:rPr>
        <w:t>, from exercising their audit and investigation rights.</w:t>
      </w:r>
    </w:p>
    <w:p w14:paraId="67BD74A4" w14:textId="77777777" w:rsidR="00E318E9" w:rsidRPr="009649DB" w:rsidRDefault="00E318E9" w:rsidP="00E318E9">
      <w:pPr>
        <w:pStyle w:val="3"/>
        <w:rPr>
          <w:sz w:val="24"/>
          <w:szCs w:val="24"/>
          <w:lang w:val="en-US"/>
        </w:rPr>
      </w:pPr>
      <w:r w:rsidRPr="009649DB">
        <w:rPr>
          <w:rStyle w:val="a4"/>
          <w:sz w:val="24"/>
          <w:szCs w:val="24"/>
          <w:lang w:val="en-US"/>
        </w:rPr>
        <w:t>4. Procedures to be followed and expected results</w:t>
      </w:r>
    </w:p>
    <w:p w14:paraId="6A30AE90" w14:textId="77777777" w:rsidR="00E318E9" w:rsidRPr="009649DB" w:rsidRDefault="00E318E9" w:rsidP="00E318E9">
      <w:pPr>
        <w:pStyle w:val="a3"/>
        <w:jc w:val="both"/>
        <w:rPr>
          <w:lang w:val="en-US"/>
        </w:rPr>
      </w:pPr>
      <w:r w:rsidRPr="009649DB">
        <w:rPr>
          <w:lang w:val="en-US"/>
        </w:rPr>
        <w:t xml:space="preserve">The procedures to be performed by the practitioner are listed in the </w:t>
      </w:r>
      <w:r w:rsidRPr="009649DB">
        <w:rPr>
          <w:rStyle w:val="a4"/>
          <w:lang w:val="en-US"/>
        </w:rPr>
        <w:t>Agreed-Upon Procedures (AUP) Checklist</w:t>
      </w:r>
      <w:r w:rsidRPr="009649DB">
        <w:rPr>
          <w:lang w:val="en-US"/>
        </w:rPr>
        <w:t>, which forms an integral part of these Terms of Reference.</w:t>
      </w:r>
    </w:p>
    <w:p w14:paraId="68A5B53C" w14:textId="77777777" w:rsidR="00E318E9" w:rsidRPr="009649DB" w:rsidRDefault="00E318E9" w:rsidP="00E318E9">
      <w:pPr>
        <w:pStyle w:val="a3"/>
        <w:jc w:val="both"/>
        <w:rPr>
          <w:lang w:val="en-US"/>
        </w:rPr>
      </w:pPr>
      <w:r w:rsidRPr="009649DB">
        <w:rPr>
          <w:lang w:val="en-US"/>
        </w:rPr>
        <w:t>The engagement should be conducted through inquiry and analysis, (re)computation, comparison, accuracy checks, observation, inspection of records and documents, and interviews with the participant’s staff, as described in the AUP checklist.</w:t>
      </w:r>
    </w:p>
    <w:p w14:paraId="3826A05B" w14:textId="77777777" w:rsidR="00E318E9" w:rsidRPr="009649DB" w:rsidRDefault="00E318E9" w:rsidP="00E318E9">
      <w:pPr>
        <w:pStyle w:val="a3"/>
        <w:jc w:val="both"/>
        <w:rPr>
          <w:lang w:val="en-US"/>
        </w:rPr>
      </w:pPr>
      <w:r w:rsidRPr="009649DB">
        <w:rPr>
          <w:lang w:val="en-US"/>
        </w:rPr>
        <w:t xml:space="preserve">The </w:t>
      </w:r>
      <w:r w:rsidRPr="009649DB">
        <w:rPr>
          <w:rStyle w:val="a4"/>
          <w:lang w:val="en-US"/>
        </w:rPr>
        <w:t>“Result”</w:t>
      </w:r>
      <w:r w:rsidRPr="009649DB">
        <w:rPr>
          <w:lang w:val="en-US"/>
        </w:rPr>
        <w:t xml:space="preserve"> column in the checklist includes three options of findings:</w:t>
      </w:r>
    </w:p>
    <w:p w14:paraId="3CE28991" w14:textId="77777777" w:rsidR="00E318E9" w:rsidRPr="009649DB" w:rsidRDefault="00E318E9" w:rsidP="00E318E9">
      <w:pPr>
        <w:pStyle w:val="a3"/>
        <w:numPr>
          <w:ilvl w:val="0"/>
          <w:numId w:val="4"/>
        </w:numPr>
        <w:jc w:val="both"/>
        <w:rPr>
          <w:lang w:val="en-US"/>
        </w:rPr>
      </w:pPr>
      <w:r w:rsidRPr="009649DB">
        <w:rPr>
          <w:rStyle w:val="a4"/>
          <w:lang w:val="en-US"/>
        </w:rPr>
        <w:t>YES</w:t>
      </w:r>
      <w:r w:rsidRPr="009649DB">
        <w:rPr>
          <w:lang w:val="en-US"/>
        </w:rPr>
        <w:t xml:space="preserve"> — the standard finding is confirmed; no exception reported;</w:t>
      </w:r>
    </w:p>
    <w:p w14:paraId="59C45697" w14:textId="77777777" w:rsidR="00E318E9" w:rsidRPr="009649DB" w:rsidRDefault="00E318E9" w:rsidP="00E318E9">
      <w:pPr>
        <w:pStyle w:val="a3"/>
        <w:numPr>
          <w:ilvl w:val="0"/>
          <w:numId w:val="4"/>
        </w:numPr>
        <w:jc w:val="both"/>
        <w:rPr>
          <w:lang w:val="en-US"/>
        </w:rPr>
      </w:pPr>
      <w:r w:rsidRPr="009649DB">
        <w:rPr>
          <w:rStyle w:val="a4"/>
          <w:lang w:val="en-US"/>
        </w:rPr>
        <w:t>NO</w:t>
      </w:r>
      <w:r w:rsidRPr="009649DB">
        <w:rPr>
          <w:lang w:val="en-US"/>
        </w:rPr>
        <w:t xml:space="preserve"> — the standard finding cannot be confirmed, and an exception must be reported;</w:t>
      </w:r>
    </w:p>
    <w:p w14:paraId="5C3AD3AB" w14:textId="77777777" w:rsidR="00E318E9" w:rsidRPr="009649DB" w:rsidRDefault="00E318E9" w:rsidP="00E318E9">
      <w:pPr>
        <w:pStyle w:val="a3"/>
        <w:numPr>
          <w:ilvl w:val="0"/>
          <w:numId w:val="4"/>
        </w:numPr>
        <w:jc w:val="both"/>
        <w:rPr>
          <w:lang w:val="en-US"/>
        </w:rPr>
      </w:pPr>
      <w:r w:rsidRPr="009649DB">
        <w:rPr>
          <w:rStyle w:val="a4"/>
          <w:lang w:val="en-US"/>
        </w:rPr>
        <w:t>N.A.</w:t>
      </w:r>
      <w:r w:rsidRPr="009649DB">
        <w:rPr>
          <w:lang w:val="en-US"/>
        </w:rPr>
        <w:t xml:space="preserve"> — the procedure is not applicable (e.g., no costs declared in a specific category).</w:t>
      </w:r>
    </w:p>
    <w:p w14:paraId="57D727C7" w14:textId="77777777" w:rsidR="00E318E9" w:rsidRPr="009649DB" w:rsidRDefault="00E318E9" w:rsidP="00E318E9">
      <w:pPr>
        <w:pStyle w:val="a3"/>
        <w:jc w:val="both"/>
        <w:rPr>
          <w:lang w:val="en-US"/>
        </w:rPr>
      </w:pPr>
      <w:r w:rsidRPr="009649DB">
        <w:rPr>
          <w:lang w:val="en-US"/>
        </w:rPr>
        <w:t xml:space="preserve">The reference documents for confirming findings are the rules set out in the </w:t>
      </w:r>
      <w:r w:rsidRPr="009649DB">
        <w:rPr>
          <w:rStyle w:val="a4"/>
          <w:lang w:val="en-US"/>
        </w:rPr>
        <w:t>Grant Agreement</w:t>
      </w:r>
      <w:r w:rsidRPr="009649DB">
        <w:rPr>
          <w:lang w:val="en-US"/>
        </w:rPr>
        <w:t xml:space="preserve"> and further detailed in the </w:t>
      </w:r>
      <w:r w:rsidRPr="009649DB">
        <w:rPr>
          <w:rStyle w:val="a4"/>
          <w:lang w:val="en-US"/>
        </w:rPr>
        <w:t>AGA — Annotated Grant Agreement</w:t>
      </w:r>
      <w:r w:rsidRPr="009649DB">
        <w:rPr>
          <w:lang w:val="en-US"/>
        </w:rPr>
        <w:t>.</w:t>
      </w:r>
    </w:p>
    <w:p w14:paraId="741DE344" w14:textId="77777777" w:rsidR="00E318E9" w:rsidRPr="009649DB" w:rsidRDefault="00E318E9" w:rsidP="00E318E9">
      <w:pPr>
        <w:pStyle w:val="3"/>
        <w:rPr>
          <w:sz w:val="24"/>
          <w:szCs w:val="24"/>
          <w:lang w:val="en-US"/>
        </w:rPr>
      </w:pPr>
      <w:r w:rsidRPr="009649DB">
        <w:rPr>
          <w:rStyle w:val="a4"/>
          <w:sz w:val="24"/>
          <w:szCs w:val="24"/>
          <w:lang w:val="en-US"/>
        </w:rPr>
        <w:t xml:space="preserve">5. Other special terms </w:t>
      </w:r>
    </w:p>
    <w:p w14:paraId="39A4B013" w14:textId="77777777" w:rsidR="00E318E9" w:rsidRPr="009649DB" w:rsidRDefault="00E318E9" w:rsidP="00E318E9">
      <w:pPr>
        <w:pStyle w:val="a3"/>
        <w:rPr>
          <w:lang w:val="en-US"/>
        </w:rPr>
      </w:pPr>
      <w:r w:rsidRPr="009649DB">
        <w:rPr>
          <w:lang w:val="en-US"/>
        </w:rPr>
        <w:t>Other special terms may be added to these Terms of Reference, provided that they:</w:t>
      </w:r>
    </w:p>
    <w:p w14:paraId="7E0392DA" w14:textId="77777777" w:rsidR="00E318E9" w:rsidRPr="009649DB" w:rsidRDefault="00E318E9" w:rsidP="00E318E9">
      <w:pPr>
        <w:pStyle w:val="a3"/>
        <w:numPr>
          <w:ilvl w:val="0"/>
          <w:numId w:val="5"/>
        </w:numPr>
        <w:rPr>
          <w:lang w:val="en-US"/>
        </w:rPr>
      </w:pPr>
      <w:r w:rsidRPr="009649DB">
        <w:rPr>
          <w:lang w:val="en-US"/>
        </w:rPr>
        <w:lastRenderedPageBreak/>
        <w:t>Do not alter the substance or structure of the agreed-upon procedures;</w:t>
      </w:r>
    </w:p>
    <w:p w14:paraId="6A25C01C" w14:textId="77777777" w:rsidR="00E318E9" w:rsidRPr="009649DB" w:rsidRDefault="00E318E9" w:rsidP="00E318E9">
      <w:pPr>
        <w:pStyle w:val="a3"/>
        <w:numPr>
          <w:ilvl w:val="0"/>
          <w:numId w:val="5"/>
        </w:numPr>
        <w:rPr>
          <w:lang w:val="en-US"/>
        </w:rPr>
      </w:pPr>
      <w:r w:rsidRPr="009649DB">
        <w:rPr>
          <w:lang w:val="en-US"/>
        </w:rPr>
        <w:t xml:space="preserve">Do not contradict EU regulations or the provisions of this </w:t>
      </w:r>
      <w:proofErr w:type="spellStart"/>
      <w:r w:rsidRPr="009649DB">
        <w:rPr>
          <w:lang w:val="en-US"/>
        </w:rPr>
        <w:t>ToR</w:t>
      </w:r>
      <w:proofErr w:type="spellEnd"/>
      <w:r w:rsidRPr="009649DB">
        <w:rPr>
          <w:lang w:val="en-US"/>
        </w:rPr>
        <w:t>;</w:t>
      </w:r>
    </w:p>
    <w:p w14:paraId="4547E962" w14:textId="77777777" w:rsidR="00E318E9" w:rsidRPr="009649DB" w:rsidRDefault="00E318E9" w:rsidP="00E318E9">
      <w:pPr>
        <w:pStyle w:val="a3"/>
        <w:numPr>
          <w:ilvl w:val="0"/>
          <w:numId w:val="5"/>
        </w:numPr>
        <w:rPr>
          <w:lang w:val="en-US"/>
        </w:rPr>
      </w:pPr>
      <w:r w:rsidRPr="009649DB">
        <w:rPr>
          <w:lang w:val="en-US"/>
        </w:rPr>
        <w:t>Are mutually agreed between the participant and the auditor.</w:t>
      </w:r>
    </w:p>
    <w:p w14:paraId="72D12E10" w14:textId="77777777" w:rsidR="00E318E9" w:rsidRPr="009649DB" w:rsidRDefault="00E318E9" w:rsidP="00E318E9">
      <w:pPr>
        <w:pStyle w:val="a3"/>
        <w:rPr>
          <w:b/>
          <w:lang w:val="en-US"/>
        </w:rPr>
      </w:pPr>
      <w:r w:rsidRPr="009649DB">
        <w:rPr>
          <w:b/>
          <w:lang w:val="en-US"/>
        </w:rPr>
        <w:t>Such terms may include, for example:</w:t>
      </w:r>
    </w:p>
    <w:p w14:paraId="5DE1175E" w14:textId="77777777" w:rsidR="00E318E9" w:rsidRPr="009649DB" w:rsidRDefault="00E318E9" w:rsidP="00E318E9">
      <w:pPr>
        <w:pStyle w:val="a3"/>
        <w:numPr>
          <w:ilvl w:val="0"/>
          <w:numId w:val="6"/>
        </w:numPr>
      </w:pPr>
      <w:proofErr w:type="spellStart"/>
      <w:r w:rsidRPr="009649DB">
        <w:t>Specific</w:t>
      </w:r>
      <w:proofErr w:type="spellEnd"/>
      <w:r w:rsidRPr="009649DB">
        <w:t xml:space="preserve"> </w:t>
      </w:r>
      <w:proofErr w:type="spellStart"/>
      <w:r w:rsidRPr="009649DB">
        <w:t>reporting</w:t>
      </w:r>
      <w:proofErr w:type="spellEnd"/>
      <w:r w:rsidRPr="009649DB">
        <w:t xml:space="preserve"> </w:t>
      </w:r>
      <w:proofErr w:type="spellStart"/>
      <w:r w:rsidRPr="009649DB">
        <w:t>deadlines</w:t>
      </w:r>
      <w:proofErr w:type="spellEnd"/>
      <w:r w:rsidRPr="009649DB">
        <w:t>;</w:t>
      </w:r>
    </w:p>
    <w:p w14:paraId="1F4A5F38" w14:textId="77777777" w:rsidR="00E318E9" w:rsidRPr="009649DB" w:rsidRDefault="00E318E9" w:rsidP="00E318E9">
      <w:pPr>
        <w:pStyle w:val="a3"/>
        <w:numPr>
          <w:ilvl w:val="0"/>
          <w:numId w:val="6"/>
        </w:numPr>
        <w:rPr>
          <w:lang w:val="en-US"/>
        </w:rPr>
      </w:pPr>
      <w:r w:rsidRPr="009649DB">
        <w:rPr>
          <w:lang w:val="en-US"/>
        </w:rPr>
        <w:t>Clarifications on document formats or submission methods;</w:t>
      </w:r>
    </w:p>
    <w:p w14:paraId="0333BAAB" w14:textId="77777777" w:rsidR="00E318E9" w:rsidRPr="009649DB" w:rsidRDefault="00E318E9" w:rsidP="00E318E9">
      <w:pPr>
        <w:pStyle w:val="a3"/>
        <w:numPr>
          <w:ilvl w:val="0"/>
          <w:numId w:val="6"/>
        </w:numPr>
        <w:rPr>
          <w:lang w:val="en-US"/>
        </w:rPr>
      </w:pPr>
      <w:r w:rsidRPr="009649DB">
        <w:rPr>
          <w:lang w:val="en-US"/>
        </w:rPr>
        <w:t>Details on communication procedures between the participant, auditor, and granting authority;</w:t>
      </w:r>
    </w:p>
    <w:p w14:paraId="728CE4FF" w14:textId="77777777" w:rsidR="00E318E9" w:rsidRPr="009649DB" w:rsidRDefault="00E318E9" w:rsidP="00E318E9">
      <w:pPr>
        <w:pStyle w:val="a3"/>
        <w:numPr>
          <w:ilvl w:val="0"/>
          <w:numId w:val="6"/>
        </w:numPr>
        <w:rPr>
          <w:lang w:val="en-US"/>
        </w:rPr>
      </w:pPr>
      <w:r w:rsidRPr="009649DB">
        <w:rPr>
          <w:lang w:val="en-US"/>
        </w:rPr>
        <w:t>Any additional provisions facilitating the engagement, without modifying its nature or scope.</w:t>
      </w:r>
    </w:p>
    <w:p w14:paraId="2239F14B" w14:textId="77777777" w:rsidR="00E318E9" w:rsidRPr="009649DB" w:rsidRDefault="00E318E9" w:rsidP="00E318E9">
      <w:pPr>
        <w:jc w:val="both"/>
        <w:rPr>
          <w:lang w:val="en-US"/>
        </w:rPr>
      </w:pPr>
    </w:p>
    <w:p w14:paraId="23EA8EF5" w14:textId="77777777" w:rsidR="00E318E9" w:rsidRPr="009649DB" w:rsidRDefault="00E318E9" w:rsidP="00E318E9">
      <w:pPr>
        <w:ind w:firstLine="708"/>
        <w:jc w:val="both"/>
        <w:rPr>
          <w:lang w:val="en-GB"/>
        </w:rPr>
      </w:pPr>
    </w:p>
    <w:p w14:paraId="787B1621" w14:textId="77777777" w:rsidR="00E318E9" w:rsidRPr="00E64691" w:rsidRDefault="00E318E9" w:rsidP="00E318E9">
      <w:pPr>
        <w:ind w:firstLine="708"/>
        <w:jc w:val="both"/>
        <w:rPr>
          <w:lang w:val="uk-UA"/>
        </w:rPr>
      </w:pPr>
    </w:p>
    <w:p w14:paraId="250CFAFB" w14:textId="77777777" w:rsidR="00E318E9" w:rsidRPr="00E64691" w:rsidRDefault="00E318E9" w:rsidP="00E318E9">
      <w:pPr>
        <w:ind w:firstLine="708"/>
        <w:jc w:val="both"/>
        <w:rPr>
          <w:lang w:val="uk-UA"/>
        </w:rPr>
      </w:pPr>
    </w:p>
    <w:p w14:paraId="7E0546EC" w14:textId="77777777" w:rsidR="00E318E9" w:rsidRPr="00E64691" w:rsidRDefault="00E318E9" w:rsidP="00E318E9">
      <w:pPr>
        <w:ind w:firstLine="708"/>
        <w:jc w:val="both"/>
        <w:rPr>
          <w:lang w:val="uk-UA"/>
        </w:rPr>
      </w:pPr>
    </w:p>
    <w:p w14:paraId="2B7EC079" w14:textId="77777777" w:rsidR="00E318E9" w:rsidRPr="00E64691" w:rsidRDefault="00E318E9" w:rsidP="00E318E9">
      <w:pPr>
        <w:ind w:firstLine="708"/>
        <w:jc w:val="both"/>
        <w:rPr>
          <w:lang w:val="uk-UA"/>
        </w:rPr>
      </w:pPr>
    </w:p>
    <w:p w14:paraId="38AABBCC" w14:textId="77777777" w:rsidR="00E318E9" w:rsidRPr="00E64691" w:rsidRDefault="00E318E9" w:rsidP="00E318E9">
      <w:pPr>
        <w:ind w:firstLine="708"/>
        <w:jc w:val="both"/>
        <w:rPr>
          <w:lang w:val="uk-UA"/>
        </w:rPr>
      </w:pPr>
    </w:p>
    <w:p w14:paraId="08F352C9" w14:textId="77777777" w:rsidR="00E318E9" w:rsidRPr="00E64691" w:rsidRDefault="00E318E9" w:rsidP="00E318E9">
      <w:pPr>
        <w:ind w:firstLine="708"/>
        <w:jc w:val="both"/>
        <w:rPr>
          <w:lang w:val="uk-UA"/>
        </w:rPr>
      </w:pPr>
    </w:p>
    <w:p w14:paraId="2BCA8BAC" w14:textId="77777777" w:rsidR="00F12C76" w:rsidRDefault="00F12C76" w:rsidP="00E318E9">
      <w:pPr>
        <w:jc w:val="both"/>
      </w:pPr>
    </w:p>
    <w:sectPr w:rsidR="00F12C76" w:rsidSect="005712B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3B7"/>
    <w:multiLevelType w:val="multilevel"/>
    <w:tmpl w:val="A80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712FF"/>
    <w:multiLevelType w:val="multilevel"/>
    <w:tmpl w:val="FBEE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1E95"/>
    <w:multiLevelType w:val="multilevel"/>
    <w:tmpl w:val="0008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B5E2A"/>
    <w:multiLevelType w:val="multilevel"/>
    <w:tmpl w:val="7520F05E"/>
    <w:lvl w:ilvl="0">
      <w:start w:val="1"/>
      <w:numFmt w:val="decimal"/>
      <w:lvlText w:val="%1."/>
      <w:lvlJc w:val="left"/>
      <w:pPr>
        <w:ind w:left="720" w:hanging="360"/>
      </w:pPr>
      <w:rPr>
        <w:rFonts w:cs="Times New Roman" w:hint="default"/>
      </w:rPr>
    </w:lvl>
    <w:lvl w:ilvl="1">
      <w:start w:val="1"/>
      <w:numFmt w:val="decimal"/>
      <w:isLgl/>
      <w:lvlText w:val="%1.%2"/>
      <w:lvlJc w:val="left"/>
      <w:pPr>
        <w:ind w:left="1068" w:hanging="70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2DF0D8F"/>
    <w:multiLevelType w:val="multilevel"/>
    <w:tmpl w:val="AA5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D0A8A"/>
    <w:multiLevelType w:val="multilevel"/>
    <w:tmpl w:val="EE66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F5971"/>
    <w:multiLevelType w:val="hybridMultilevel"/>
    <w:tmpl w:val="2AF0C49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22"/>
    <w:rsid w:val="0025653D"/>
    <w:rsid w:val="00422935"/>
    <w:rsid w:val="005712B3"/>
    <w:rsid w:val="005C5222"/>
    <w:rsid w:val="006C0B77"/>
    <w:rsid w:val="008242FF"/>
    <w:rsid w:val="00870751"/>
    <w:rsid w:val="00922C48"/>
    <w:rsid w:val="00B915B7"/>
    <w:rsid w:val="00E318E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5F05"/>
  <w15:chartTrackingRefBased/>
  <w15:docId w15:val="{244D4812-016B-469B-B9CD-F47D8398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E9"/>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E318E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18E9"/>
    <w:rPr>
      <w:rFonts w:ascii="Times New Roman" w:eastAsia="Times New Roman" w:hAnsi="Times New Roman" w:cs="Times New Roman"/>
      <w:b/>
      <w:bCs/>
      <w:sz w:val="27"/>
      <w:szCs w:val="27"/>
      <w:lang w:val="ru-RU" w:eastAsia="ru-RU"/>
    </w:rPr>
  </w:style>
  <w:style w:type="paragraph" w:customStyle="1" w:styleId="Default">
    <w:name w:val="Default"/>
    <w:rsid w:val="00E318E9"/>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paragraph" w:styleId="a3">
    <w:name w:val="Normal (Web)"/>
    <w:basedOn w:val="a"/>
    <w:uiPriority w:val="99"/>
    <w:unhideWhenUsed/>
    <w:rsid w:val="00E318E9"/>
    <w:pPr>
      <w:spacing w:before="100" w:beforeAutospacing="1" w:after="100" w:afterAutospacing="1"/>
    </w:pPr>
  </w:style>
  <w:style w:type="character" w:styleId="a4">
    <w:name w:val="Strong"/>
    <w:uiPriority w:val="22"/>
    <w:qFormat/>
    <w:rsid w:val="00E31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3875</Words>
  <Characters>2210</Characters>
  <Application>Microsoft Office Word</Application>
  <DocSecurity>0</DocSecurity>
  <Lines>18</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2025-10-20T14:13:00Z</dcterms:created>
  <dcterms:modified xsi:type="dcterms:W3CDTF">2025-10-20T14:14:00Z</dcterms:modified>
</cp:coreProperties>
</file>